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04" w:rsidRPr="00B92A9A" w:rsidRDefault="004615A2" w:rsidP="009D1BA6">
      <w:pPr>
        <w:bidi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جذاذة 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تنشيط حصة تقييم توجيهي في</w:t>
      </w:r>
      <w:r w:rsidRPr="00B92A9A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</w:t>
      </w:r>
      <w:r w:rsidR="009D1BA6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الإنتاج الكتابي</w:t>
      </w:r>
    </w:p>
    <w:p w:rsidR="004615A2" w:rsidRPr="00B92A9A" w:rsidRDefault="004615A2" w:rsidP="004615A2">
      <w:pPr>
        <w:bidi/>
        <w:rPr>
          <w:rtl/>
          <w:lang w:bidi="ar-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48"/>
        <w:gridCol w:w="3200"/>
        <w:gridCol w:w="3200"/>
        <w:gridCol w:w="3200"/>
        <w:gridCol w:w="3172"/>
      </w:tblGrid>
      <w:tr w:rsidR="004615A2" w:rsidRPr="00B92A9A" w:rsidTr="006C6F41">
        <w:tc>
          <w:tcPr>
            <w:tcW w:w="3148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التوقيت 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30 دق</w:t>
            </w:r>
          </w:p>
        </w:tc>
        <w:tc>
          <w:tcPr>
            <w:tcW w:w="3200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عدد الجذاذة  : </w:t>
            </w:r>
            <w:r>
              <w:rPr>
                <w:rFonts w:hint="cs"/>
                <w:b/>
                <w:bCs/>
                <w:rtl/>
                <w:lang w:bidi="ar-TN"/>
              </w:rPr>
              <w:t>0</w:t>
            </w:r>
          </w:p>
        </w:tc>
        <w:tc>
          <w:tcPr>
            <w:tcW w:w="3200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الوحدة :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TN"/>
              </w:rPr>
              <w:t>0</w:t>
            </w:r>
          </w:p>
        </w:tc>
        <w:tc>
          <w:tcPr>
            <w:tcW w:w="3200" w:type="dxa"/>
          </w:tcPr>
          <w:p w:rsidR="004615A2" w:rsidRPr="00B92A9A" w:rsidRDefault="004615A2" w:rsidP="00C7174C">
            <w:pPr>
              <w:bidi/>
              <w:jc w:val="center"/>
              <w:rPr>
                <w:b/>
                <w:bCs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النشاط  : </w:t>
            </w:r>
            <w:proofErr w:type="spellStart"/>
            <w:r w:rsidR="00C7174C">
              <w:rPr>
                <w:rFonts w:hint="cs"/>
                <w:b/>
                <w:bCs/>
                <w:rtl/>
                <w:lang w:bidi="ar-TN"/>
              </w:rPr>
              <w:t>انتاج</w:t>
            </w:r>
            <w:proofErr w:type="spellEnd"/>
            <w:r w:rsidR="00C7174C">
              <w:rPr>
                <w:rFonts w:hint="cs"/>
                <w:b/>
                <w:bCs/>
                <w:rtl/>
                <w:lang w:bidi="ar-TN"/>
              </w:rPr>
              <w:t xml:space="preserve"> كتابي</w:t>
            </w:r>
          </w:p>
        </w:tc>
        <w:tc>
          <w:tcPr>
            <w:tcW w:w="3172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المجال  :</w:t>
            </w:r>
            <w:proofErr w:type="gramEnd"/>
            <w:r w:rsidRPr="00B92A9A">
              <w:rPr>
                <w:b/>
                <w:bCs/>
                <w:lang w:bidi="ar-TN"/>
              </w:rPr>
              <w:t xml:space="preserve"> 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اللغات </w:t>
            </w:r>
            <w:r w:rsidRPr="00B92A9A">
              <w:rPr>
                <w:b/>
                <w:bCs/>
                <w:rtl/>
                <w:lang w:bidi="ar-TN"/>
              </w:rPr>
              <w:t>–</w:t>
            </w:r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عربية -</w:t>
            </w:r>
          </w:p>
        </w:tc>
      </w:tr>
    </w:tbl>
    <w:p w:rsidR="004615A2" w:rsidRPr="00B92A9A" w:rsidRDefault="004615A2" w:rsidP="004615A2">
      <w:pPr>
        <w:bidi/>
        <w:jc w:val="center"/>
        <w:rPr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5180"/>
        <w:gridCol w:w="10774"/>
      </w:tblGrid>
      <w:tr w:rsidR="004615A2" w:rsidRPr="00B92A9A" w:rsidTr="005E0962">
        <w:tc>
          <w:tcPr>
            <w:tcW w:w="5180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المجال</w:t>
            </w:r>
          </w:p>
        </w:tc>
        <w:tc>
          <w:tcPr>
            <w:tcW w:w="10774" w:type="dxa"/>
          </w:tcPr>
          <w:p w:rsidR="004615A2" w:rsidRPr="00B92A9A" w:rsidRDefault="00C7174C" w:rsidP="006C6F41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يتواصل المتعلّم باستعمال اللّغة العربيّة مشافهة وكتابة</w:t>
            </w:r>
          </w:p>
        </w:tc>
      </w:tr>
      <w:tr w:rsidR="004615A2" w:rsidRPr="00B92A9A" w:rsidTr="005E0962">
        <w:tc>
          <w:tcPr>
            <w:tcW w:w="5180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 w:rsidRPr="00B92A9A">
              <w:rPr>
                <w:rFonts w:hint="cs"/>
                <w:b/>
                <w:bCs/>
                <w:rtl/>
                <w:lang w:bidi="ar-TN"/>
              </w:rPr>
              <w:t>كفاية المادة</w:t>
            </w:r>
          </w:p>
        </w:tc>
        <w:tc>
          <w:tcPr>
            <w:tcW w:w="10774" w:type="dxa"/>
          </w:tcPr>
          <w:p w:rsidR="004615A2" w:rsidRPr="00B92A9A" w:rsidRDefault="00C7174C" w:rsidP="006C6F41">
            <w:pPr>
              <w:bidi/>
              <w:rPr>
                <w:rtl/>
                <w:lang w:bidi="ar-TN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ينتج </w:t>
            </w:r>
            <w:proofErr w:type="gramStart"/>
            <w:r>
              <w:rPr>
                <w:rFonts w:hint="cs"/>
                <w:b/>
                <w:bCs/>
                <w:sz w:val="36"/>
                <w:szCs w:val="36"/>
                <w:rtl/>
              </w:rPr>
              <w:t>نصّا</w:t>
            </w:r>
            <w:proofErr w:type="gramEnd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يوظّف فيه أنماطا متنوّعة من الكتابة</w:t>
            </w:r>
          </w:p>
        </w:tc>
      </w:tr>
    </w:tbl>
    <w:p w:rsidR="004615A2" w:rsidRDefault="004615A2" w:rsidP="004615A2">
      <w:pPr>
        <w:bidi/>
        <w:jc w:val="center"/>
        <w:rPr>
          <w:sz w:val="16"/>
          <w:szCs w:val="16"/>
          <w:rtl/>
          <w:lang w:bidi="ar-TN"/>
        </w:rPr>
      </w:pPr>
    </w:p>
    <w:tbl>
      <w:tblPr>
        <w:tblStyle w:val="Grilledutableau"/>
        <w:bidiVisual/>
        <w:tblW w:w="15954" w:type="dxa"/>
        <w:tblLook w:val="04A0"/>
      </w:tblPr>
      <w:tblGrid>
        <w:gridCol w:w="5180"/>
        <w:gridCol w:w="10774"/>
      </w:tblGrid>
      <w:tr w:rsidR="004615A2" w:rsidRPr="00B92A9A" w:rsidTr="005E0962">
        <w:tc>
          <w:tcPr>
            <w:tcW w:w="5180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مكونات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الكفاية</w:t>
            </w:r>
          </w:p>
        </w:tc>
        <w:tc>
          <w:tcPr>
            <w:tcW w:w="10774" w:type="dxa"/>
          </w:tcPr>
          <w:p w:rsidR="004615A2" w:rsidRPr="00AD2077" w:rsidRDefault="004615A2" w:rsidP="006C6F41">
            <w:pPr>
              <w:bidi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الأهداف</w:t>
            </w:r>
            <w:proofErr w:type="gramEnd"/>
            <w:r w:rsidRPr="00B92A9A">
              <w:rPr>
                <w:rFonts w:hint="cs"/>
                <w:b/>
                <w:bCs/>
                <w:rtl/>
                <w:lang w:bidi="ar-TN"/>
              </w:rPr>
              <w:t xml:space="preserve"> المميزة</w:t>
            </w:r>
          </w:p>
        </w:tc>
      </w:tr>
      <w:tr w:rsidR="00CC130C" w:rsidRPr="00B92A9A" w:rsidTr="00B25B3C">
        <w:tc>
          <w:tcPr>
            <w:tcW w:w="5180" w:type="dxa"/>
            <w:vMerge w:val="restart"/>
            <w:vAlign w:val="center"/>
          </w:tcPr>
          <w:p w:rsidR="00CC130C" w:rsidRPr="00AD2077" w:rsidRDefault="00CC130C" w:rsidP="00B25B3C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يخطّط لكتابة نصّ</w:t>
            </w:r>
          </w:p>
        </w:tc>
        <w:tc>
          <w:tcPr>
            <w:tcW w:w="10774" w:type="dxa"/>
          </w:tcPr>
          <w:p w:rsidR="00CC130C" w:rsidRPr="00CC130C" w:rsidRDefault="00CC130C" w:rsidP="00E94B07">
            <w:pPr>
              <w:pStyle w:val="Corpsdetexte2"/>
              <w:jc w:val="both"/>
              <w:rPr>
                <w:rFonts w:cs="Arabic Transparent"/>
                <w:sz w:val="28"/>
                <w:szCs w:val="28"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* يحلّل وضعيّة الكتابة</w:t>
            </w:r>
          </w:p>
        </w:tc>
      </w:tr>
      <w:tr w:rsidR="00CC130C" w:rsidRPr="00B92A9A" w:rsidTr="00B25B3C">
        <w:tc>
          <w:tcPr>
            <w:tcW w:w="5180" w:type="dxa"/>
            <w:vMerge/>
            <w:vAlign w:val="center"/>
          </w:tcPr>
          <w:p w:rsidR="00CC130C" w:rsidRPr="00B92A9A" w:rsidRDefault="00CC130C" w:rsidP="00B25B3C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CC130C" w:rsidRPr="00CC130C" w:rsidRDefault="00CC130C" w:rsidP="00CC130C">
            <w:pPr>
              <w:jc w:val="right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* يحدّد نمط / </w:t>
            </w:r>
            <w:proofErr w:type="gramStart"/>
            <w:r w:rsidRPr="00CC130C">
              <w:rPr>
                <w:rFonts w:cs="Arabic Transparent" w:hint="cs"/>
                <w:sz w:val="28"/>
                <w:szCs w:val="28"/>
                <w:rtl/>
              </w:rPr>
              <w:t>أنماط</w:t>
            </w:r>
            <w:proofErr w:type="gramEnd"/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 الكتابة</w:t>
            </w:r>
          </w:p>
        </w:tc>
      </w:tr>
      <w:tr w:rsidR="00CC130C" w:rsidRPr="00B92A9A" w:rsidTr="00B25B3C">
        <w:tc>
          <w:tcPr>
            <w:tcW w:w="5180" w:type="dxa"/>
            <w:vMerge/>
            <w:vAlign w:val="center"/>
          </w:tcPr>
          <w:p w:rsidR="00CC130C" w:rsidRPr="00B92A9A" w:rsidRDefault="00CC130C" w:rsidP="00B25B3C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CC130C" w:rsidRPr="00CC130C" w:rsidRDefault="00CC130C" w:rsidP="006C6F41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يفصّل عناصر </w:t>
            </w:r>
            <w:proofErr w:type="spellStart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المنتوج</w:t>
            </w:r>
            <w:proofErr w:type="spellEnd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المنتظر</w:t>
            </w:r>
          </w:p>
        </w:tc>
      </w:tr>
      <w:tr w:rsidR="00CC130C" w:rsidRPr="00B92A9A" w:rsidTr="00B25B3C">
        <w:tc>
          <w:tcPr>
            <w:tcW w:w="5180" w:type="dxa"/>
            <w:vMerge/>
            <w:vAlign w:val="center"/>
          </w:tcPr>
          <w:p w:rsidR="00CC130C" w:rsidRPr="00B92A9A" w:rsidRDefault="00CC130C" w:rsidP="00B25B3C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CC130C" w:rsidRPr="00CC130C" w:rsidRDefault="00CC130C" w:rsidP="006C6F41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ينظّم عناصر </w:t>
            </w:r>
            <w:proofErr w:type="spellStart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المنتوج</w:t>
            </w:r>
            <w:proofErr w:type="spellEnd"/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المنتظر</w:t>
            </w:r>
          </w:p>
        </w:tc>
      </w:tr>
      <w:tr w:rsidR="00B25B3C" w:rsidRPr="00B92A9A" w:rsidTr="00B25B3C">
        <w:trPr>
          <w:trHeight w:val="298"/>
        </w:trPr>
        <w:tc>
          <w:tcPr>
            <w:tcW w:w="5180" w:type="dxa"/>
            <w:vMerge w:val="restart"/>
            <w:vAlign w:val="center"/>
          </w:tcPr>
          <w:p w:rsidR="00B25B3C" w:rsidRPr="00B92A9A" w:rsidRDefault="00B25B3C" w:rsidP="00B25B3C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يحرّر النّصّ</w:t>
            </w:r>
          </w:p>
        </w:tc>
        <w:tc>
          <w:tcPr>
            <w:tcW w:w="10774" w:type="dxa"/>
          </w:tcPr>
          <w:p w:rsidR="00B25B3C" w:rsidRPr="00CC130C" w:rsidRDefault="00B25B3C" w:rsidP="006C6F41">
            <w:pPr>
              <w:pStyle w:val="Titre4"/>
              <w:ind w:left="252" w:hanging="252"/>
              <w:jc w:val="both"/>
              <w:outlineLvl w:val="3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rtl/>
              </w:rPr>
            </w:pP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>يراعي تسلسل الأفكار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- </w:t>
            </w:r>
            <w:r w:rsidRPr="00CC130C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يولي الفِكَر حظّها.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- </w:t>
            </w:r>
            <w:r w:rsidRPr="00CC130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B25B3C">
              <w:rPr>
                <w:rFonts w:hint="cs"/>
                <w:b w:val="0"/>
                <w:bCs w:val="0"/>
                <w:sz w:val="28"/>
                <w:szCs w:val="28"/>
                <w:rtl/>
              </w:rPr>
              <w:t>يحترم قواعد اللّغة</w:t>
            </w:r>
          </w:p>
        </w:tc>
      </w:tr>
      <w:tr w:rsidR="00CC130C" w:rsidRPr="00B92A9A" w:rsidTr="00B25B3C">
        <w:trPr>
          <w:trHeight w:val="260"/>
        </w:trPr>
        <w:tc>
          <w:tcPr>
            <w:tcW w:w="5180" w:type="dxa"/>
            <w:vMerge/>
            <w:vAlign w:val="center"/>
          </w:tcPr>
          <w:p w:rsidR="00CC130C" w:rsidRPr="00C11E60" w:rsidRDefault="00CC130C" w:rsidP="00B25B3C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CC130C" w:rsidRPr="00CC130C" w:rsidRDefault="00CC130C" w:rsidP="006C6F41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يستعمل معجما </w:t>
            </w:r>
            <w:proofErr w:type="spellStart"/>
            <w:r w:rsidRPr="00CC130C">
              <w:rPr>
                <w:rFonts w:cs="Arabic Transparent" w:hint="cs"/>
                <w:sz w:val="28"/>
                <w:szCs w:val="28"/>
                <w:rtl/>
              </w:rPr>
              <w:t>يلائم</w:t>
            </w:r>
            <w:proofErr w:type="spellEnd"/>
            <w:r w:rsidRPr="00CC130C">
              <w:rPr>
                <w:rFonts w:cs="Arabic Transparent" w:hint="cs"/>
                <w:sz w:val="28"/>
                <w:szCs w:val="28"/>
                <w:rtl/>
              </w:rPr>
              <w:t xml:space="preserve"> الموضوع المطروق.</w:t>
            </w:r>
          </w:p>
        </w:tc>
      </w:tr>
      <w:tr w:rsidR="00CC130C" w:rsidRPr="00B92A9A" w:rsidTr="00B25B3C">
        <w:trPr>
          <w:trHeight w:val="260"/>
        </w:trPr>
        <w:tc>
          <w:tcPr>
            <w:tcW w:w="5180" w:type="dxa"/>
            <w:vMerge/>
            <w:vAlign w:val="center"/>
          </w:tcPr>
          <w:p w:rsidR="00CC130C" w:rsidRPr="00C11E60" w:rsidRDefault="00CC130C" w:rsidP="00B25B3C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CC130C" w:rsidRPr="00CC130C" w:rsidRDefault="00CC130C" w:rsidP="006C6F41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يستعمل الرّوابط اللّفظيّـة التي يستوجبها نمط الكتابة.</w:t>
            </w:r>
          </w:p>
        </w:tc>
      </w:tr>
      <w:tr w:rsidR="00B25B3C" w:rsidRPr="00B92A9A" w:rsidTr="00B25B3C">
        <w:trPr>
          <w:trHeight w:val="180"/>
        </w:trPr>
        <w:tc>
          <w:tcPr>
            <w:tcW w:w="5180" w:type="dxa"/>
            <w:vMerge/>
            <w:vAlign w:val="center"/>
          </w:tcPr>
          <w:p w:rsidR="00B25B3C" w:rsidRPr="00C11E60" w:rsidRDefault="00B25B3C" w:rsidP="00B25B3C">
            <w:pPr>
              <w:bidi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774" w:type="dxa"/>
          </w:tcPr>
          <w:p w:rsidR="00B25B3C" w:rsidRPr="00CC130C" w:rsidRDefault="00B25B3C" w:rsidP="006C6F41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 w:rsidRPr="00CC130C">
              <w:rPr>
                <w:rFonts w:cs="Arabic Transparent" w:hint="cs"/>
                <w:sz w:val="28"/>
                <w:szCs w:val="28"/>
                <w:rtl/>
              </w:rPr>
              <w:t>يعرض نصّه عرضا واضحا.</w:t>
            </w:r>
          </w:p>
        </w:tc>
      </w:tr>
      <w:tr w:rsidR="00B25B3C" w:rsidRPr="00B92A9A" w:rsidTr="00B25B3C">
        <w:tc>
          <w:tcPr>
            <w:tcW w:w="5180" w:type="dxa"/>
            <w:vMerge w:val="restart"/>
            <w:tcBorders>
              <w:top w:val="single" w:sz="4" w:space="0" w:color="auto"/>
            </w:tcBorders>
            <w:vAlign w:val="center"/>
          </w:tcPr>
          <w:p w:rsidR="00B25B3C" w:rsidRPr="00B92A9A" w:rsidRDefault="00B25B3C" w:rsidP="00B25B3C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يقيّم إنتاجه</w:t>
            </w:r>
          </w:p>
        </w:tc>
        <w:tc>
          <w:tcPr>
            <w:tcW w:w="10774" w:type="dxa"/>
            <w:tcBorders>
              <w:top w:val="single" w:sz="4" w:space="0" w:color="auto"/>
            </w:tcBorders>
          </w:tcPr>
          <w:p w:rsidR="00B25B3C" w:rsidRPr="00B25B3C" w:rsidRDefault="00B25B3C" w:rsidP="00B25B3C">
            <w:pPr>
              <w:bidi/>
              <w:jc w:val="lowKashida"/>
              <w:rPr>
                <w:rFonts w:cs="Arabic Transparent"/>
                <w:sz w:val="28"/>
                <w:szCs w:val="28"/>
                <w:rtl/>
                <w:lang w:bidi="ar-TN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يقيّم مضمون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/>
                <w:sz w:val="28"/>
                <w:szCs w:val="28"/>
              </w:rPr>
              <w:t xml:space="preserve">  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>من حيث :  وجاهة الفِـكَـر -  صحّـة المعلومات</w:t>
            </w:r>
          </w:p>
        </w:tc>
      </w:tr>
      <w:tr w:rsidR="00B25B3C" w:rsidRPr="00B92A9A" w:rsidTr="005E0962">
        <w:tc>
          <w:tcPr>
            <w:tcW w:w="5180" w:type="dxa"/>
            <w:vMerge/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B25B3C" w:rsidRPr="005E0962" w:rsidRDefault="00B25B3C" w:rsidP="006C6F41">
            <w:pPr>
              <w:bidi/>
              <w:ind w:left="252" w:hanging="252"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* يصف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التّمشّـي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الذي اعتمده ويعلّله.</w:t>
            </w:r>
          </w:p>
        </w:tc>
      </w:tr>
      <w:tr w:rsidR="00B25B3C" w:rsidRPr="00B92A9A" w:rsidTr="005E0962">
        <w:tc>
          <w:tcPr>
            <w:tcW w:w="5180" w:type="dxa"/>
            <w:vMerge/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</w:tcPr>
          <w:p w:rsidR="00B25B3C" w:rsidRPr="005E0962" w:rsidRDefault="00B25B3C" w:rsidP="005E096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يتثبّت من تحقيق الغرض من الكتابة.</w:t>
            </w:r>
          </w:p>
        </w:tc>
      </w:tr>
      <w:tr w:rsidR="00B25B3C" w:rsidRPr="00B92A9A" w:rsidTr="00E7099F">
        <w:tc>
          <w:tcPr>
            <w:tcW w:w="5180" w:type="dxa"/>
            <w:vMerge/>
            <w:vAlign w:val="center"/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bottom w:val="single" w:sz="4" w:space="0" w:color="auto"/>
            </w:tcBorders>
          </w:tcPr>
          <w:p w:rsidR="00B25B3C" w:rsidRDefault="00B25B3C" w:rsidP="00B25B3C">
            <w:pPr>
              <w:ind w:left="720"/>
              <w:jc w:val="right"/>
              <w:rPr>
                <w:rFonts w:cs="Arabic Transparent" w:hint="cs"/>
                <w:sz w:val="28"/>
                <w:szCs w:val="28"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يقيّم صياغة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من حيث :سلامة التّركيب - 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ملاءمة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المعجم للموضوع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cs="Arabic Transparent" w:hint="cs"/>
                <w:sz w:val="28"/>
                <w:szCs w:val="28"/>
                <w:rtl/>
              </w:rPr>
              <w:t>أدوات الرّبط</w:t>
            </w:r>
            <w:r>
              <w:rPr>
                <w:rFonts w:cs="Arabic Transparent" w:hint="cs"/>
                <w:sz w:val="28"/>
                <w:szCs w:val="28"/>
                <w:rtl/>
                <w:lang w:bidi="ar-TN"/>
              </w:rPr>
              <w:t xml:space="preserve">  -  </w:t>
            </w:r>
            <w:r>
              <w:rPr>
                <w:rFonts w:cs="Arabic Transparent" w:hint="cs"/>
                <w:sz w:val="28"/>
                <w:szCs w:val="28"/>
                <w:rtl/>
              </w:rPr>
              <w:t>علامات التّنقيط</w:t>
            </w:r>
          </w:p>
          <w:p w:rsidR="00B25B3C" w:rsidRPr="005E0962" w:rsidRDefault="00B25B3C" w:rsidP="00CC130C">
            <w:pPr>
              <w:bidi/>
              <w:rPr>
                <w:rFonts w:asciiTheme="majorBidi" w:hAnsiTheme="majorBidi" w:cstheme="majorBidi"/>
                <w:rtl/>
              </w:rPr>
            </w:pP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سلامة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العرض</w:t>
            </w:r>
          </w:p>
        </w:tc>
      </w:tr>
      <w:tr w:rsidR="00B25B3C" w:rsidRPr="00B92A9A" w:rsidTr="00E7099F">
        <w:tc>
          <w:tcPr>
            <w:tcW w:w="5180" w:type="dxa"/>
            <w:vMerge/>
            <w:tcBorders>
              <w:bottom w:val="single" w:sz="4" w:space="0" w:color="auto"/>
            </w:tcBorders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:rsidR="00B25B3C" w:rsidRPr="005E0962" w:rsidRDefault="00B25B3C" w:rsidP="005E0962">
            <w:pPr>
              <w:bidi/>
              <w:ind w:left="252" w:hanging="252"/>
              <w:rPr>
                <w:rFonts w:asciiTheme="majorBidi" w:hAnsiTheme="majorBidi" w:cstheme="majorBidi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يعيد صياغة </w:t>
            </w:r>
            <w:proofErr w:type="spellStart"/>
            <w:r>
              <w:rPr>
                <w:rFonts w:cs="Arabic Transparent" w:hint="cs"/>
                <w:sz w:val="28"/>
                <w:szCs w:val="28"/>
                <w:rtl/>
              </w:rPr>
              <w:t>منتوجه</w:t>
            </w:r>
            <w:proofErr w:type="spellEnd"/>
            <w:r>
              <w:rPr>
                <w:rFonts w:cs="Arabic Transparent" w:hint="cs"/>
                <w:sz w:val="28"/>
                <w:szCs w:val="28"/>
                <w:rtl/>
              </w:rPr>
              <w:t xml:space="preserve"> باعتماد حصيلة تقييمه.</w:t>
            </w:r>
          </w:p>
        </w:tc>
      </w:tr>
      <w:tr w:rsidR="00B25B3C" w:rsidRPr="00B92A9A" w:rsidTr="00115EBF">
        <w:tc>
          <w:tcPr>
            <w:tcW w:w="5180" w:type="dxa"/>
            <w:vMerge w:val="restart"/>
            <w:tcBorders>
              <w:top w:val="single" w:sz="4" w:space="0" w:color="auto"/>
            </w:tcBorders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يستعمل تكنولوجيات المعلومات والاتّصال</w:t>
            </w:r>
          </w:p>
        </w:tc>
        <w:tc>
          <w:tcPr>
            <w:tcW w:w="10774" w:type="dxa"/>
            <w:tcBorders>
              <w:top w:val="single" w:sz="4" w:space="0" w:color="auto"/>
              <w:bottom w:val="single" w:sz="4" w:space="0" w:color="auto"/>
            </w:tcBorders>
          </w:tcPr>
          <w:p w:rsidR="00B25B3C" w:rsidRDefault="00B25B3C" w:rsidP="005E096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 xml:space="preserve">يعالج </w:t>
            </w:r>
            <w:proofErr w:type="gramStart"/>
            <w:r>
              <w:rPr>
                <w:rFonts w:cs="Arabic Transparent" w:hint="cs"/>
                <w:sz w:val="28"/>
                <w:szCs w:val="28"/>
                <w:rtl/>
              </w:rPr>
              <w:t>نصّا</w:t>
            </w:r>
            <w:proofErr w:type="gramEnd"/>
            <w:r>
              <w:rPr>
                <w:rFonts w:cs="Arabic Transparent" w:hint="cs"/>
                <w:sz w:val="28"/>
                <w:szCs w:val="28"/>
                <w:rtl/>
              </w:rPr>
              <w:t xml:space="preserve"> أنتجه.</w:t>
            </w:r>
          </w:p>
        </w:tc>
      </w:tr>
      <w:tr w:rsidR="00B25B3C" w:rsidRPr="00B92A9A" w:rsidTr="00115EBF">
        <w:tc>
          <w:tcPr>
            <w:tcW w:w="5180" w:type="dxa"/>
            <w:vMerge/>
          </w:tcPr>
          <w:p w:rsidR="00B25B3C" w:rsidRPr="00B92A9A" w:rsidRDefault="00B25B3C" w:rsidP="006C6F41">
            <w:pPr>
              <w:bidi/>
              <w:jc w:val="center"/>
              <w:rPr>
                <w:b/>
                <w:bCs/>
                <w:rtl/>
                <w:lang w:bidi="ar-TN"/>
              </w:rPr>
            </w:pPr>
          </w:p>
        </w:tc>
        <w:tc>
          <w:tcPr>
            <w:tcW w:w="10774" w:type="dxa"/>
            <w:tcBorders>
              <w:top w:val="single" w:sz="4" w:space="0" w:color="auto"/>
            </w:tcBorders>
          </w:tcPr>
          <w:p w:rsidR="00B25B3C" w:rsidRDefault="00B25B3C" w:rsidP="005E0962">
            <w:pPr>
              <w:bidi/>
              <w:ind w:left="252" w:hanging="252"/>
              <w:rPr>
                <w:rFonts w:cs="Arabic Transparent" w:hint="cs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يرسل خطابا.</w:t>
            </w:r>
          </w:p>
        </w:tc>
      </w:tr>
    </w:tbl>
    <w:p w:rsidR="004615A2" w:rsidRPr="00364BB5" w:rsidRDefault="005E0962" w:rsidP="005E0962">
      <w:pPr>
        <w:tabs>
          <w:tab w:val="left" w:pos="5161"/>
        </w:tabs>
        <w:bidi/>
        <w:rPr>
          <w:sz w:val="16"/>
          <w:szCs w:val="16"/>
          <w:rtl/>
          <w:lang w:bidi="ar-TN"/>
        </w:rPr>
      </w:pPr>
      <w:r>
        <w:rPr>
          <w:sz w:val="16"/>
          <w:szCs w:val="16"/>
          <w:rtl/>
          <w:lang w:bidi="ar-TN"/>
        </w:rPr>
        <w:tab/>
      </w:r>
      <w:r>
        <w:rPr>
          <w:rFonts w:hint="cs"/>
          <w:sz w:val="16"/>
          <w:szCs w:val="16"/>
          <w:rtl/>
          <w:lang w:bidi="ar-T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9606"/>
        <w:gridCol w:w="6314"/>
      </w:tblGrid>
      <w:tr w:rsidR="004615A2" w:rsidRPr="00B92A9A" w:rsidTr="006C6F41">
        <w:tc>
          <w:tcPr>
            <w:tcW w:w="9606" w:type="dxa"/>
            <w:vAlign w:val="center"/>
          </w:tcPr>
          <w:p w:rsidR="004615A2" w:rsidRPr="005414B7" w:rsidRDefault="004615A2" w:rsidP="006C6F41">
            <w:pPr>
              <w:bidi/>
              <w:jc w:val="center"/>
              <w:rPr>
                <w:lang w:bidi="ar-TN"/>
              </w:rPr>
            </w:pPr>
            <w:proofErr w:type="gramStart"/>
            <w:r w:rsidRPr="00B92A9A">
              <w:rPr>
                <w:rFonts w:hint="cs"/>
                <w:b/>
                <w:bCs/>
                <w:rtl/>
                <w:lang w:bidi="ar-TN"/>
              </w:rPr>
              <w:t>المحتوى</w:t>
            </w:r>
            <w:proofErr w:type="gramEnd"/>
          </w:p>
        </w:tc>
        <w:tc>
          <w:tcPr>
            <w:tcW w:w="6314" w:type="dxa"/>
          </w:tcPr>
          <w:p w:rsidR="004615A2" w:rsidRPr="00B92A9A" w:rsidRDefault="004615A2" w:rsidP="006C6F41">
            <w:pPr>
              <w:bidi/>
              <w:jc w:val="center"/>
              <w:rPr>
                <w:b/>
                <w:bCs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التهيئة</w:t>
            </w:r>
            <w:proofErr w:type="gramEnd"/>
          </w:p>
        </w:tc>
      </w:tr>
      <w:tr w:rsidR="004615A2" w:rsidRPr="00B92A9A" w:rsidTr="006C6F41">
        <w:tc>
          <w:tcPr>
            <w:tcW w:w="9606" w:type="dxa"/>
          </w:tcPr>
          <w:p w:rsidR="004615A2" w:rsidRDefault="004615A2" w:rsidP="006C6F41">
            <w:pPr>
              <w:bidi/>
              <w:rPr>
                <w:rtl/>
                <w:lang w:bidi="ar-TN"/>
              </w:rPr>
            </w:pPr>
          </w:p>
          <w:p w:rsidR="004615A2" w:rsidRPr="00B92A9A" w:rsidRDefault="004615A2" w:rsidP="00526322">
            <w:pPr>
              <w:pStyle w:val="Paragraphedeliste"/>
              <w:numPr>
                <w:ilvl w:val="0"/>
                <w:numId w:val="5"/>
              </w:numPr>
              <w:bidi/>
              <w:rPr>
                <w:rtl/>
                <w:lang w:bidi="ar-TN"/>
              </w:rPr>
            </w:pPr>
            <w:proofErr w:type="gramStart"/>
            <w:r>
              <w:rPr>
                <w:rFonts w:hint="cs"/>
                <w:rtl/>
                <w:lang w:bidi="ar-TN"/>
              </w:rPr>
              <w:t>الأسئلة :</w:t>
            </w:r>
            <w:proofErr w:type="gramEnd"/>
            <w:r>
              <w:rPr>
                <w:rFonts w:hint="cs"/>
                <w:rtl/>
                <w:lang w:bidi="ar-TN"/>
              </w:rPr>
              <w:t xml:space="preserve"> انظر المطبوعة المصاحبة </w:t>
            </w:r>
          </w:p>
          <w:p w:rsidR="004615A2" w:rsidRPr="00B92A9A" w:rsidRDefault="004615A2" w:rsidP="006C6F41">
            <w:pPr>
              <w:bidi/>
              <w:rPr>
                <w:lang w:bidi="ar-TN"/>
              </w:rPr>
            </w:pPr>
          </w:p>
        </w:tc>
        <w:tc>
          <w:tcPr>
            <w:tcW w:w="6314" w:type="dxa"/>
          </w:tcPr>
          <w:p w:rsidR="004615A2" w:rsidRPr="00B92A9A" w:rsidRDefault="006610B5" w:rsidP="002A3EEE">
            <w:pPr>
              <w:bidi/>
              <w:jc w:val="both"/>
              <w:rPr>
                <w:lang w:bidi="ar-TN"/>
              </w:rPr>
            </w:pPr>
            <w:proofErr w:type="spellStart"/>
            <w:r>
              <w:rPr>
                <w:rFonts w:hint="cs"/>
                <w:rtl/>
                <w:lang w:bidi="ar-TN"/>
              </w:rPr>
              <w:t>تحسيس</w:t>
            </w:r>
            <w:proofErr w:type="spellEnd"/>
            <w:r>
              <w:rPr>
                <w:rFonts w:hint="cs"/>
                <w:rtl/>
                <w:lang w:bidi="ar-TN"/>
              </w:rPr>
              <w:t xml:space="preserve"> المتعلمين أن الاختبار الذي سيقع تمريره ما هو إلا استكشاف لمدى استيعابهم لدروس السنة الخامسة قصد دعم ما نسي منه </w:t>
            </w:r>
            <w:r w:rsidR="002A3EEE">
              <w:rPr>
                <w:rFonts w:hint="cs"/>
                <w:rtl/>
                <w:lang w:bidi="ar-TN"/>
              </w:rPr>
              <w:t>و</w:t>
            </w:r>
            <w:r w:rsidR="00526322">
              <w:rPr>
                <w:rFonts w:hint="cs"/>
                <w:rtl/>
                <w:lang w:bidi="ar-TN"/>
              </w:rPr>
              <w:t>الاستعداد للدخول في برنامج السنة السادسة، لذلك هم م</w:t>
            </w:r>
            <w:r w:rsidR="00763CB6">
              <w:rPr>
                <w:rFonts w:hint="cs"/>
                <w:rtl/>
                <w:lang w:bidi="ar-TN"/>
              </w:rPr>
              <w:t>طالبون بالتعامل معه بكل جدية حتى</w:t>
            </w:r>
            <w:r w:rsidR="00526322">
              <w:rPr>
                <w:rFonts w:hint="cs"/>
                <w:rtl/>
                <w:lang w:bidi="ar-TN"/>
              </w:rPr>
              <w:t xml:space="preserve"> يكون تقييما صادقا .</w:t>
            </w:r>
          </w:p>
        </w:tc>
      </w:tr>
    </w:tbl>
    <w:p w:rsidR="004615A2" w:rsidRPr="00B92A9A" w:rsidRDefault="004615A2" w:rsidP="004615A2">
      <w:pPr>
        <w:bidi/>
      </w:pPr>
    </w:p>
    <w:sectPr w:rsidR="004615A2" w:rsidRPr="00B92A9A" w:rsidSect="00A9276A">
      <w:pgSz w:w="16838" w:h="11906" w:orient="landscape" w:code="9"/>
      <w:pgMar w:top="567" w:right="567" w:bottom="567" w:left="567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A7766"/>
    <w:multiLevelType w:val="hybridMultilevel"/>
    <w:tmpl w:val="BCE65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956AD"/>
    <w:multiLevelType w:val="hybridMultilevel"/>
    <w:tmpl w:val="C04EF5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8B684F"/>
    <w:multiLevelType w:val="hybridMultilevel"/>
    <w:tmpl w:val="7040AA1E"/>
    <w:lvl w:ilvl="0" w:tplc="6570E9FE">
      <w:start w:val="5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Arabic Transparent" w:hint="default"/>
      </w:rPr>
    </w:lvl>
    <w:lvl w:ilvl="1" w:tplc="F48E787A">
      <w:start w:val="1"/>
      <w:numFmt w:val="bullet"/>
      <w:lvlText w:val=""/>
      <w:lvlJc w:val="left"/>
      <w:pPr>
        <w:tabs>
          <w:tab w:val="num" w:pos="1800"/>
        </w:tabs>
        <w:ind w:left="1800" w:right="1800" w:hanging="360"/>
      </w:pPr>
      <w:rPr>
        <w:rFonts w:ascii="Wingdings" w:hAnsi="Wingdings" w:hint="default"/>
      </w:rPr>
    </w:lvl>
    <w:lvl w:ilvl="2" w:tplc="04010005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">
    <w:nsid w:val="3E310E19"/>
    <w:multiLevelType w:val="hybridMultilevel"/>
    <w:tmpl w:val="F60CC4E6"/>
    <w:lvl w:ilvl="0" w:tplc="D5383E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B30401"/>
    <w:multiLevelType w:val="hybridMultilevel"/>
    <w:tmpl w:val="B48043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5EB2565"/>
    <w:multiLevelType w:val="hybridMultilevel"/>
    <w:tmpl w:val="89307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6BF4"/>
    <w:rsid w:val="00042AAF"/>
    <w:rsid w:val="00046B1F"/>
    <w:rsid w:val="000557D8"/>
    <w:rsid w:val="00074274"/>
    <w:rsid w:val="000A444E"/>
    <w:rsid w:val="000A7A7B"/>
    <w:rsid w:val="000F1673"/>
    <w:rsid w:val="00110B5B"/>
    <w:rsid w:val="00157690"/>
    <w:rsid w:val="001A136E"/>
    <w:rsid w:val="00206BF4"/>
    <w:rsid w:val="00251D4E"/>
    <w:rsid w:val="0027768C"/>
    <w:rsid w:val="00283161"/>
    <w:rsid w:val="00294937"/>
    <w:rsid w:val="002A3EEE"/>
    <w:rsid w:val="002C2C01"/>
    <w:rsid w:val="00341A56"/>
    <w:rsid w:val="00364BB5"/>
    <w:rsid w:val="00373C01"/>
    <w:rsid w:val="00442AF9"/>
    <w:rsid w:val="004615A2"/>
    <w:rsid w:val="00477148"/>
    <w:rsid w:val="004C0A08"/>
    <w:rsid w:val="004C5A9A"/>
    <w:rsid w:val="004D3E9A"/>
    <w:rsid w:val="00526322"/>
    <w:rsid w:val="005414B7"/>
    <w:rsid w:val="00553D45"/>
    <w:rsid w:val="005A128E"/>
    <w:rsid w:val="005E0962"/>
    <w:rsid w:val="005F2659"/>
    <w:rsid w:val="00606E15"/>
    <w:rsid w:val="00623561"/>
    <w:rsid w:val="00653BE2"/>
    <w:rsid w:val="006610B5"/>
    <w:rsid w:val="00697A0D"/>
    <w:rsid w:val="00763CB6"/>
    <w:rsid w:val="008F5837"/>
    <w:rsid w:val="00950A71"/>
    <w:rsid w:val="009910EC"/>
    <w:rsid w:val="009D1BA6"/>
    <w:rsid w:val="00AA58F2"/>
    <w:rsid w:val="00AB5BB2"/>
    <w:rsid w:val="00AD2077"/>
    <w:rsid w:val="00B04211"/>
    <w:rsid w:val="00B04884"/>
    <w:rsid w:val="00B25B3C"/>
    <w:rsid w:val="00B63059"/>
    <w:rsid w:val="00B92A9A"/>
    <w:rsid w:val="00C11E60"/>
    <w:rsid w:val="00C7174C"/>
    <w:rsid w:val="00C721A5"/>
    <w:rsid w:val="00CB659A"/>
    <w:rsid w:val="00CC130C"/>
    <w:rsid w:val="00CF119A"/>
    <w:rsid w:val="00D32E08"/>
    <w:rsid w:val="00D344AA"/>
    <w:rsid w:val="00DD7A01"/>
    <w:rsid w:val="00E82264"/>
    <w:rsid w:val="00F22A04"/>
    <w:rsid w:val="00FA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BF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fr-FR"/>
    </w:rPr>
  </w:style>
  <w:style w:type="paragraph" w:styleId="Titre3">
    <w:name w:val="heading 3"/>
    <w:basedOn w:val="Normal"/>
    <w:next w:val="Normal"/>
    <w:link w:val="Titre3Car"/>
    <w:qFormat/>
    <w:rsid w:val="004615A2"/>
    <w:pPr>
      <w:keepNext/>
      <w:bidi/>
      <w:jc w:val="center"/>
      <w:outlineLvl w:val="2"/>
    </w:pPr>
    <w:rPr>
      <w:rFonts w:cs="Andalus"/>
      <w:b/>
      <w:bCs/>
      <w:sz w:val="52"/>
      <w:szCs w:val="52"/>
      <w:lang w:val="en-US" w:eastAsia="ar-SA"/>
    </w:rPr>
  </w:style>
  <w:style w:type="paragraph" w:styleId="Titre4">
    <w:name w:val="heading 4"/>
    <w:basedOn w:val="Normal"/>
    <w:next w:val="Normal"/>
    <w:link w:val="Titre4Car"/>
    <w:qFormat/>
    <w:rsid w:val="004615A2"/>
    <w:pPr>
      <w:keepNext/>
      <w:bidi/>
      <w:jc w:val="lowKashida"/>
      <w:outlineLvl w:val="3"/>
    </w:pPr>
    <w:rPr>
      <w:rFonts w:cs="Arabic Transparent"/>
      <w:b/>
      <w:bCs/>
      <w:sz w:val="40"/>
      <w:szCs w:val="40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6BF4"/>
    <w:pPr>
      <w:ind w:left="708"/>
    </w:pPr>
  </w:style>
  <w:style w:type="table" w:styleId="Grilledutableau">
    <w:name w:val="Table Grid"/>
    <w:basedOn w:val="TableauNormal"/>
    <w:uiPriority w:val="59"/>
    <w:rsid w:val="004D3E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4615A2"/>
    <w:rPr>
      <w:rFonts w:ascii="Times New Roman" w:eastAsia="Times New Roman" w:hAnsi="Times New Roman" w:cs="Andalus"/>
      <w:b/>
      <w:bCs/>
      <w:sz w:val="52"/>
      <w:szCs w:val="52"/>
      <w:lang w:val="en-US" w:eastAsia="ar-SA"/>
    </w:rPr>
  </w:style>
  <w:style w:type="character" w:customStyle="1" w:styleId="Titre4Car">
    <w:name w:val="Titre 4 Car"/>
    <w:basedOn w:val="Policepardfaut"/>
    <w:link w:val="Titre4"/>
    <w:rsid w:val="004615A2"/>
    <w:rPr>
      <w:rFonts w:ascii="Times New Roman" w:eastAsia="Times New Roman" w:hAnsi="Times New Roman" w:cs="Arabic Transparent"/>
      <w:b/>
      <w:bCs/>
      <w:sz w:val="40"/>
      <w:szCs w:val="40"/>
      <w:lang w:val="en-US" w:eastAsia="ar-SA"/>
    </w:rPr>
  </w:style>
  <w:style w:type="paragraph" w:styleId="Corpsdetexte2">
    <w:name w:val="Body Text 2"/>
    <w:basedOn w:val="Normal"/>
    <w:link w:val="Corpsdetexte2Car"/>
    <w:rsid w:val="00CC130C"/>
    <w:pPr>
      <w:bidi/>
      <w:jc w:val="lowKashida"/>
    </w:pPr>
    <w:rPr>
      <w:rFonts w:cs="Traditional Arabic"/>
      <w:lang w:val="en-US" w:eastAsia="ar-SA"/>
    </w:rPr>
  </w:style>
  <w:style w:type="character" w:customStyle="1" w:styleId="Corpsdetexte2Car">
    <w:name w:val="Corps de texte 2 Car"/>
    <w:basedOn w:val="Policepardfaut"/>
    <w:link w:val="Corpsdetexte2"/>
    <w:rsid w:val="00CC130C"/>
    <w:rPr>
      <w:rFonts w:ascii="Times New Roman" w:eastAsia="Times New Roman" w:hAnsi="Times New Roman" w:cs="Traditional Arabic"/>
      <w:sz w:val="32"/>
      <w:szCs w:val="32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Acer</cp:lastModifiedBy>
  <cp:revision>23</cp:revision>
  <dcterms:created xsi:type="dcterms:W3CDTF">2013-01-28T23:15:00Z</dcterms:created>
  <dcterms:modified xsi:type="dcterms:W3CDTF">2013-08-15T19:41:00Z</dcterms:modified>
</cp:coreProperties>
</file>