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30" w:rsidRDefault="007A5B30" w:rsidP="008B7B18">
      <w:pPr>
        <w:bidi/>
        <w:ind w:left="-1134" w:right="-1134"/>
        <w:jc w:val="center"/>
      </w:pPr>
    </w:p>
    <w:p w:rsidR="00F36E4D" w:rsidRDefault="00F36E4D" w:rsidP="008B7B18">
      <w:pPr>
        <w:bidi/>
        <w:ind w:left="-426" w:right="-709" w:hanging="708"/>
        <w:rPr>
          <w:rFonts w:hint="cs"/>
          <w:rtl/>
          <w:lang w:bidi="ar-TN"/>
        </w:rPr>
      </w:pPr>
      <w:r>
        <w:rPr>
          <w:rFonts w:hint="cs"/>
          <w:rtl/>
        </w:rPr>
        <w:t xml:space="preserve">       </w:t>
      </w:r>
      <w:r w:rsidR="008B7B18">
        <w:rPr>
          <w:rFonts w:hint="cs"/>
          <w:rtl/>
        </w:rPr>
        <w:t xml:space="preserve">                               </w:t>
      </w:r>
      <w:r w:rsidR="008B7B18">
        <w:rPr>
          <w:rFonts w:hint="c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pt;height:50.25pt" fillcolor="#0d0d0d [3069]" strokecolor="#0d0d0d [3069]">
            <v:fill color2="#f93"/>
            <v:shadow color="silver" opacity="52429f"/>
            <o:extrusion v:ext="view" backdepth="1in" color="#00d7ee" on="t" viewpoint="0" viewpointorigin="0" skewangle="-90" type="perspective"/>
            <v:textpath style="font-family:&quot;Impact&quot;;v-text-kern:t" trim="t" fitpath="t" string="التنظيم  السياسي في تونس"/>
          </v:shape>
        </w:pict>
      </w:r>
    </w:p>
    <w:p w:rsidR="00F36E4D" w:rsidRPr="00D13628" w:rsidRDefault="00D13628" w:rsidP="00D13628">
      <w:pPr>
        <w:pStyle w:val="Paragraphedeliste"/>
        <w:numPr>
          <w:ilvl w:val="0"/>
          <w:numId w:val="3"/>
        </w:numPr>
        <w:bidi/>
        <w:ind w:right="-1134"/>
        <w:rPr>
          <w:sz w:val="36"/>
          <w:szCs w:val="36"/>
        </w:rPr>
      </w:pPr>
      <w:proofErr w:type="spellStart"/>
      <w:r w:rsidRPr="00D13628">
        <w:rPr>
          <w:rFonts w:hint="cs"/>
          <w:sz w:val="36"/>
          <w:szCs w:val="36"/>
          <w:rtl/>
        </w:rPr>
        <w:t>1</w:t>
      </w:r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Pr="00D13628">
        <w:rPr>
          <w:rFonts w:hint="cs"/>
          <w:b/>
          <w:bCs/>
          <w:i/>
          <w:iCs/>
          <w:color w:val="00D7EE"/>
          <w:sz w:val="40"/>
          <w:szCs w:val="40"/>
          <w:rtl/>
        </w:rPr>
        <w:t>مهام رئيس الجمهورية</w:t>
      </w:r>
      <w:r w:rsidR="008B7B18">
        <w:rPr>
          <w:rFonts w:hint="cs"/>
          <w:sz w:val="36"/>
          <w:szCs w:val="36"/>
          <w:rtl/>
        </w:rPr>
        <w:t> </w:t>
      </w:r>
      <w:r w:rsidR="008B7B18">
        <w:rPr>
          <w:sz w:val="36"/>
          <w:szCs w:val="36"/>
        </w:rPr>
        <w:t>:</w:t>
      </w:r>
    </w:p>
    <w:p w:rsidR="00F36E4D" w:rsidRPr="00140857" w:rsidRDefault="00D13628" w:rsidP="00140857">
      <w:pPr>
        <w:bidi/>
        <w:ind w:left="-567" w:right="-567"/>
        <w:rPr>
          <w:sz w:val="32"/>
          <w:szCs w:val="32"/>
        </w:rPr>
      </w:pPr>
      <w:r w:rsidRPr="00140857">
        <w:rPr>
          <w:rFonts w:hint="cs"/>
          <w:b/>
          <w:bCs/>
          <w:color w:val="CC3399"/>
          <w:sz w:val="32"/>
          <w:szCs w:val="32"/>
          <w:rtl/>
        </w:rPr>
        <w:t xml:space="preserve"> </w:t>
      </w:r>
      <w:r w:rsidR="00140857" w:rsidRPr="00140857">
        <w:rPr>
          <w:rFonts w:hint="cs"/>
          <w:b/>
          <w:bCs/>
          <w:color w:val="CC3399"/>
          <w:sz w:val="32"/>
          <w:szCs w:val="32"/>
          <w:rtl/>
        </w:rPr>
        <w:t>ا</w:t>
      </w:r>
      <w:r w:rsidRPr="00140857">
        <w:rPr>
          <w:rFonts w:hint="cs"/>
          <w:b/>
          <w:bCs/>
          <w:color w:val="CC3399"/>
          <w:sz w:val="32"/>
          <w:szCs w:val="32"/>
          <w:rtl/>
        </w:rPr>
        <w:t xml:space="preserve"> </w:t>
      </w:r>
      <w:r w:rsidRPr="00140857">
        <w:rPr>
          <w:b/>
          <w:bCs/>
          <w:color w:val="CC3399"/>
          <w:sz w:val="32"/>
          <w:szCs w:val="32"/>
          <w:rtl/>
        </w:rPr>
        <w:t>لفصل 77</w:t>
      </w:r>
      <w:r w:rsidR="00140857" w:rsidRPr="00140857">
        <w:rPr>
          <w:rFonts w:hint="cs"/>
          <w:b/>
          <w:bCs/>
          <w:color w:val="CC3399"/>
          <w:sz w:val="32"/>
          <w:szCs w:val="32"/>
          <w:rtl/>
        </w:rPr>
        <w:t xml:space="preserve"> من دستور 2014 </w:t>
      </w:r>
      <w:r w:rsidR="00140857" w:rsidRPr="00140857">
        <w:rPr>
          <w:b/>
          <w:bCs/>
          <w:color w:val="CC3399"/>
          <w:sz w:val="32"/>
          <w:szCs w:val="32"/>
        </w:rPr>
        <w:t>:</w:t>
      </w:r>
      <w:r>
        <w:br/>
      </w:r>
      <w:r w:rsidRPr="00140857">
        <w:rPr>
          <w:sz w:val="32"/>
          <w:szCs w:val="32"/>
          <w:rtl/>
        </w:rPr>
        <w:t>يتولى رئيس الجمهورية بأوامر رئاسية</w:t>
      </w:r>
      <w:r w:rsidRPr="00140857">
        <w:rPr>
          <w:sz w:val="32"/>
          <w:szCs w:val="32"/>
        </w:rPr>
        <w:t>:</w:t>
      </w:r>
      <w:r w:rsidRPr="00140857">
        <w:rPr>
          <w:sz w:val="32"/>
          <w:szCs w:val="32"/>
        </w:rPr>
        <w:br/>
        <w:t xml:space="preserve">- </w:t>
      </w:r>
      <w:r w:rsidRPr="00140857">
        <w:rPr>
          <w:sz w:val="32"/>
          <w:szCs w:val="32"/>
          <w:rtl/>
        </w:rPr>
        <w:t xml:space="preserve">تعيين مفتي الجمهورية التونسية </w:t>
      </w:r>
      <w:proofErr w:type="gramStart"/>
      <w:r w:rsidRPr="00140857">
        <w:rPr>
          <w:sz w:val="32"/>
          <w:szCs w:val="32"/>
          <w:rtl/>
        </w:rPr>
        <w:t>وإعفاءه</w:t>
      </w:r>
      <w:proofErr w:type="gramEnd"/>
      <w:r w:rsidR="00140857">
        <w:rPr>
          <w:sz w:val="32"/>
          <w:szCs w:val="32"/>
        </w:rPr>
        <w:t>.</w:t>
      </w:r>
      <w:r w:rsidRPr="00140857">
        <w:rPr>
          <w:sz w:val="32"/>
          <w:szCs w:val="32"/>
        </w:rPr>
        <w:br/>
        <w:t xml:space="preserve">- </w:t>
      </w:r>
      <w:r w:rsidRPr="00140857">
        <w:rPr>
          <w:sz w:val="32"/>
          <w:szCs w:val="32"/>
          <w:rtl/>
        </w:rPr>
        <w:t xml:space="preserve">التعيينات والإعفاءات في الوظائف العليا برئاسة الجمهورية والمؤسسات التابعة </w:t>
      </w:r>
      <w:proofErr w:type="spellStart"/>
      <w:r w:rsidRPr="00140857">
        <w:rPr>
          <w:sz w:val="32"/>
          <w:szCs w:val="32"/>
          <w:rtl/>
        </w:rPr>
        <w:t>لها،</w:t>
      </w:r>
      <w:proofErr w:type="spellEnd"/>
      <w:r w:rsidRPr="00140857">
        <w:rPr>
          <w:sz w:val="32"/>
          <w:szCs w:val="32"/>
          <w:rtl/>
        </w:rPr>
        <w:t xml:space="preserve"> وتضبط هذه الوظائف العليا بقانون</w:t>
      </w:r>
      <w:r w:rsidRPr="00140857">
        <w:rPr>
          <w:sz w:val="32"/>
          <w:szCs w:val="32"/>
        </w:rPr>
        <w:t>.</w:t>
      </w:r>
      <w:r w:rsidRPr="00140857">
        <w:rPr>
          <w:sz w:val="32"/>
          <w:szCs w:val="32"/>
        </w:rPr>
        <w:br/>
        <w:t>-</w:t>
      </w:r>
      <w:r w:rsidRPr="00140857">
        <w:rPr>
          <w:sz w:val="32"/>
          <w:szCs w:val="32"/>
          <w:rtl/>
        </w:rPr>
        <w:t xml:space="preserve">التعيينات والإعفاءات في الوظائف العليا العسكرية والدبلوماسية والمتعلقة بالأمن القومي بعد </w:t>
      </w:r>
      <w:proofErr w:type="spellStart"/>
      <w:r w:rsidRPr="00140857">
        <w:rPr>
          <w:sz w:val="32"/>
          <w:szCs w:val="32"/>
          <w:rtl/>
        </w:rPr>
        <w:t>إستشارة</w:t>
      </w:r>
      <w:proofErr w:type="spellEnd"/>
      <w:r w:rsidRPr="00140857">
        <w:rPr>
          <w:sz w:val="32"/>
          <w:szCs w:val="32"/>
          <w:rtl/>
        </w:rPr>
        <w:t xml:space="preserve"> رئيس الحكومة. وتضبط هذه الوظائف العليا بقانون</w:t>
      </w:r>
      <w:r w:rsidRPr="00140857">
        <w:rPr>
          <w:sz w:val="32"/>
          <w:szCs w:val="32"/>
        </w:rPr>
        <w:t>.</w:t>
      </w:r>
      <w:r w:rsidRPr="00140857">
        <w:rPr>
          <w:sz w:val="32"/>
          <w:szCs w:val="32"/>
        </w:rPr>
        <w:br/>
        <w:t>-</w:t>
      </w:r>
      <w:r w:rsidRPr="00140857">
        <w:rPr>
          <w:sz w:val="32"/>
          <w:szCs w:val="32"/>
          <w:rtl/>
        </w:rPr>
        <w:t xml:space="preserve">تعيين محافظ البنك المركزي باقتراح من رئيس </w:t>
      </w:r>
      <w:proofErr w:type="spellStart"/>
      <w:r w:rsidRPr="00140857">
        <w:rPr>
          <w:sz w:val="32"/>
          <w:szCs w:val="32"/>
          <w:rtl/>
        </w:rPr>
        <w:t>الحكومة،</w:t>
      </w:r>
      <w:proofErr w:type="spellEnd"/>
      <w:r w:rsidRPr="00140857">
        <w:rPr>
          <w:sz w:val="32"/>
          <w:szCs w:val="32"/>
          <w:rtl/>
        </w:rPr>
        <w:t xml:space="preserve"> وبعد مصادقة الأغلبية المطلقة لأعضاء مجلس نواب الشعب. </w:t>
      </w:r>
      <w:proofErr w:type="gramStart"/>
      <w:r w:rsidRPr="00140857">
        <w:rPr>
          <w:sz w:val="32"/>
          <w:szCs w:val="32"/>
          <w:rtl/>
        </w:rPr>
        <w:t>ويتمّ</w:t>
      </w:r>
      <w:proofErr w:type="gramEnd"/>
      <w:r w:rsidRPr="00140857">
        <w:rPr>
          <w:sz w:val="32"/>
          <w:szCs w:val="32"/>
          <w:rtl/>
        </w:rPr>
        <w:t xml:space="preserve"> إعفاؤه بنفس الصيغة أو بطلب من ثلث أعضاء مجلس نواب الشعب ومصادقة الأغلبية المطلقة من الأعضاء</w:t>
      </w:r>
      <w:r w:rsidRPr="00140857">
        <w:rPr>
          <w:sz w:val="32"/>
          <w:szCs w:val="32"/>
        </w:rPr>
        <w:t>.</w:t>
      </w:r>
    </w:p>
    <w:p w:rsidR="004E7614" w:rsidRPr="004E7614" w:rsidRDefault="00140857" w:rsidP="004E7614">
      <w:pPr>
        <w:pStyle w:val="Paragraphedeliste"/>
        <w:numPr>
          <w:ilvl w:val="0"/>
          <w:numId w:val="3"/>
        </w:numPr>
        <w:bidi/>
        <w:ind w:right="-567"/>
        <w:jc w:val="both"/>
        <w:rPr>
          <w:sz w:val="32"/>
          <w:szCs w:val="32"/>
        </w:rPr>
      </w:pPr>
      <w:r w:rsidRPr="00106A1F">
        <w:rPr>
          <w:sz w:val="40"/>
          <w:szCs w:val="40"/>
        </w:rPr>
        <w:t>2</w:t>
      </w:r>
      <w:proofErr w:type="spellStart"/>
      <w:r w:rsidRPr="00106A1F">
        <w:rPr>
          <w:rFonts w:hint="cs"/>
          <w:b/>
          <w:bCs/>
          <w:i/>
          <w:iCs/>
          <w:color w:val="0D0D0D" w:themeColor="text1" w:themeTint="F2"/>
          <w:sz w:val="32"/>
          <w:szCs w:val="32"/>
          <w:rtl/>
        </w:rPr>
        <w:t>-</w:t>
      </w:r>
      <w:proofErr w:type="spellEnd"/>
      <w:r w:rsidRPr="004E7614">
        <w:rPr>
          <w:rFonts w:hint="cs"/>
          <w:b/>
          <w:bCs/>
          <w:i/>
          <w:iCs/>
          <w:color w:val="00D7EE"/>
          <w:sz w:val="40"/>
          <w:szCs w:val="40"/>
          <w:rtl/>
        </w:rPr>
        <w:t xml:space="preserve"> مهام الوزير الاول</w:t>
      </w:r>
      <w:r>
        <w:rPr>
          <w:rFonts w:hint="cs"/>
          <w:sz w:val="32"/>
          <w:szCs w:val="32"/>
          <w:rtl/>
        </w:rPr>
        <w:t> </w:t>
      </w:r>
      <w:r>
        <w:rPr>
          <w:sz w:val="32"/>
          <w:szCs w:val="32"/>
        </w:rPr>
        <w:t>:</w:t>
      </w:r>
    </w:p>
    <w:p w:rsidR="004E7614" w:rsidRPr="004E7614" w:rsidRDefault="004E7614" w:rsidP="004E761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gram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</w:t>
      </w:r>
      <w:r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نفيذ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القواني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</w:t>
      </w:r>
    </w:p>
    <w:p w:rsidR="004E7614" w:rsidRPr="004E7614" w:rsidRDefault="004E7614" w:rsidP="004E761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4E761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إقالة وتعيين أعضاء الحكومة</w:t>
      </w:r>
      <w:r w:rsidRPr="004E761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4E7614" w:rsidRPr="004E7614" w:rsidRDefault="004E7614" w:rsidP="004E761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gramStart"/>
      <w:r w:rsidRPr="004E761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إحداث</w:t>
      </w:r>
      <w:proofErr w:type="gramEnd"/>
      <w:r w:rsidRPr="004E761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أو تعديل أو حذف المؤسسات والمنشآت العمومية والمصالح الإدارية</w:t>
      </w:r>
      <w:r w:rsidRPr="004E761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4E7614" w:rsidRPr="004E7614" w:rsidRDefault="004E7614" w:rsidP="004E761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4E761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إجراء التعيينات والإعفا</w:t>
      </w:r>
      <w:r w:rsidRPr="004E761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ء</w:t>
      </w:r>
      <w:r w:rsidRPr="004E761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ات في الوظائف المدنية العليا</w:t>
      </w:r>
      <w:r w:rsidRPr="004E761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4E7614" w:rsidRPr="004E7614" w:rsidRDefault="004E7614" w:rsidP="004E761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4E761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يتصرف في الإدارة</w:t>
      </w:r>
      <w:r w:rsidRPr="004E761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4E7614" w:rsidRPr="004E7614" w:rsidRDefault="004E7614" w:rsidP="004E7614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4E761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يبرم الاتفاقيات الدولية ذات الصبغة </w:t>
      </w:r>
      <w:proofErr w:type="gramStart"/>
      <w:r w:rsidRPr="004E761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الفني</w:t>
      </w:r>
      <w:proofErr w:type="gramEnd"/>
      <w:r w:rsidRPr="004E7614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4E7614" w:rsidRPr="00106A1F" w:rsidRDefault="00106A1F" w:rsidP="00106A1F">
      <w:pPr>
        <w:pStyle w:val="Paragraphedeliste"/>
        <w:numPr>
          <w:ilvl w:val="0"/>
          <w:numId w:val="6"/>
        </w:numPr>
        <w:bidi/>
        <w:ind w:right="-567"/>
        <w:rPr>
          <w:sz w:val="32"/>
          <w:szCs w:val="32"/>
        </w:rPr>
      </w:pPr>
      <w:proofErr w:type="spellStart"/>
      <w:r w:rsidRPr="00106A1F">
        <w:rPr>
          <w:rFonts w:hint="cs"/>
          <w:sz w:val="40"/>
          <w:szCs w:val="40"/>
          <w:rtl/>
        </w:rPr>
        <w:t>3-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 w:rsidRPr="00106A1F">
        <w:rPr>
          <w:rFonts w:hint="cs"/>
          <w:b/>
          <w:bCs/>
          <w:i/>
          <w:iCs/>
          <w:color w:val="00D7EE"/>
          <w:sz w:val="40"/>
          <w:szCs w:val="40"/>
          <w:rtl/>
        </w:rPr>
        <w:t>مجلس نواب الشعب</w:t>
      </w:r>
      <w:r>
        <w:rPr>
          <w:rFonts w:hint="cs"/>
          <w:sz w:val="40"/>
          <w:szCs w:val="40"/>
          <w:rtl/>
        </w:rPr>
        <w:t> </w:t>
      </w:r>
      <w:r>
        <w:rPr>
          <w:sz w:val="40"/>
          <w:szCs w:val="40"/>
        </w:rPr>
        <w:t>:</w:t>
      </w:r>
    </w:p>
    <w:p w:rsidR="00F36E4D" w:rsidRPr="00106A1F" w:rsidRDefault="00106A1F" w:rsidP="00106A1F">
      <w:pPr>
        <w:bidi/>
        <w:ind w:left="-567" w:right="-426"/>
        <w:rPr>
          <w:sz w:val="32"/>
          <w:szCs w:val="32"/>
        </w:rPr>
      </w:pPr>
      <w:r w:rsidRPr="00106A1F">
        <w:rPr>
          <w:sz w:val="32"/>
          <w:szCs w:val="32"/>
          <w:rtl/>
        </w:rPr>
        <w:t xml:space="preserve">هو جزء </w:t>
      </w:r>
      <w:r w:rsidRPr="00106A1F">
        <w:rPr>
          <w:color w:val="0D0D0D" w:themeColor="text1" w:themeTint="F2"/>
          <w:sz w:val="32"/>
          <w:szCs w:val="32"/>
          <w:rtl/>
        </w:rPr>
        <w:t xml:space="preserve">من </w:t>
      </w:r>
      <w:hyperlink r:id="rId6" w:tooltip="البرلمان التونسي" w:history="1">
        <w:r w:rsidRPr="00106A1F">
          <w:rPr>
            <w:rStyle w:val="Lienhypertexte"/>
            <w:color w:val="0D0D0D" w:themeColor="text1" w:themeTint="F2"/>
            <w:sz w:val="32"/>
            <w:szCs w:val="32"/>
            <w:rtl/>
          </w:rPr>
          <w:t>البرلمان التونسي</w:t>
        </w:r>
      </w:hyperlink>
      <w:r w:rsidRPr="00106A1F">
        <w:rPr>
          <w:sz w:val="32"/>
          <w:szCs w:val="32"/>
        </w:rPr>
        <w:t xml:space="preserve"> </w:t>
      </w:r>
      <w:r w:rsidRPr="00106A1F">
        <w:rPr>
          <w:sz w:val="32"/>
          <w:szCs w:val="32"/>
          <w:rtl/>
        </w:rPr>
        <w:t xml:space="preserve">المتكون من </w:t>
      </w:r>
      <w:hyperlink r:id="rId7" w:tooltip="برلمان بغرفة واحدة" w:history="1">
        <w:r w:rsidRPr="00106A1F">
          <w:rPr>
            <w:rStyle w:val="Lienhypertexte"/>
            <w:color w:val="0D0D0D" w:themeColor="text1" w:themeTint="F2"/>
            <w:sz w:val="32"/>
            <w:szCs w:val="32"/>
            <w:rtl/>
          </w:rPr>
          <w:t xml:space="preserve">غرفة </w:t>
        </w:r>
        <w:proofErr w:type="spellStart"/>
        <w:r w:rsidRPr="00106A1F">
          <w:rPr>
            <w:rStyle w:val="Lienhypertexte"/>
            <w:color w:val="0D0D0D" w:themeColor="text1" w:themeTint="F2"/>
            <w:sz w:val="32"/>
            <w:szCs w:val="32"/>
            <w:rtl/>
          </w:rPr>
          <w:t>واحدة</w:t>
        </w:r>
      </w:hyperlink>
      <w:r w:rsidRPr="00106A1F">
        <w:rPr>
          <w:sz w:val="32"/>
          <w:szCs w:val="32"/>
          <w:rtl/>
        </w:rPr>
        <w:t>،</w:t>
      </w:r>
      <w:proofErr w:type="spellEnd"/>
      <w:r w:rsidRPr="00106A1F">
        <w:rPr>
          <w:sz w:val="32"/>
          <w:szCs w:val="32"/>
          <w:rtl/>
        </w:rPr>
        <w:t xml:space="preserve"> تم تأسيسه في </w:t>
      </w:r>
      <w:hyperlink r:id="rId8" w:tooltip="تونس" w:history="1">
        <w:r w:rsidRPr="00106A1F">
          <w:rPr>
            <w:rStyle w:val="Lienhypertexte"/>
            <w:color w:val="0D0D0D" w:themeColor="text1" w:themeTint="F2"/>
            <w:sz w:val="32"/>
            <w:szCs w:val="32"/>
            <w:rtl/>
          </w:rPr>
          <w:t>تونس</w:t>
        </w:r>
      </w:hyperlink>
      <w:r w:rsidRPr="00106A1F">
        <w:rPr>
          <w:sz w:val="32"/>
          <w:szCs w:val="32"/>
        </w:rPr>
        <w:t xml:space="preserve"> </w:t>
      </w:r>
      <w:r w:rsidRPr="00106A1F">
        <w:rPr>
          <w:sz w:val="32"/>
          <w:szCs w:val="32"/>
          <w:rtl/>
        </w:rPr>
        <w:t xml:space="preserve">في </w:t>
      </w:r>
      <w:r w:rsidR="008B7B18">
        <w:rPr>
          <w:sz w:val="32"/>
          <w:szCs w:val="32"/>
        </w:rPr>
        <w:t>2014</w:t>
      </w:r>
      <w:r w:rsidRPr="00106A1F">
        <w:rPr>
          <w:sz w:val="32"/>
          <w:szCs w:val="32"/>
        </w:rPr>
        <w:t xml:space="preserve"> </w:t>
      </w:r>
      <w:proofErr w:type="gramStart"/>
      <w:r w:rsidRPr="00106A1F">
        <w:rPr>
          <w:sz w:val="32"/>
          <w:szCs w:val="32"/>
          <w:rtl/>
        </w:rPr>
        <w:t>اعتمادا</w:t>
      </w:r>
      <w:proofErr w:type="gramEnd"/>
      <w:r w:rsidRPr="00106A1F">
        <w:rPr>
          <w:sz w:val="32"/>
          <w:szCs w:val="32"/>
          <w:rtl/>
        </w:rPr>
        <w:t xml:space="preserve"> على </w:t>
      </w:r>
      <w:hyperlink r:id="rId9" w:tooltip="دستور تونس 2014" w:history="1">
        <w:r w:rsidRPr="008B7B18">
          <w:rPr>
            <w:rStyle w:val="Lienhypertexte"/>
            <w:color w:val="0D0D0D" w:themeColor="text1" w:themeTint="F2"/>
            <w:sz w:val="32"/>
            <w:szCs w:val="32"/>
            <w:rtl/>
          </w:rPr>
          <w:t>دستور 2014 الجديد</w:t>
        </w:r>
      </w:hyperlink>
      <w:r>
        <w:rPr>
          <w:sz w:val="32"/>
          <w:szCs w:val="32"/>
        </w:rPr>
        <w:t>.</w:t>
      </w:r>
    </w:p>
    <w:p w:rsidR="008B7B18" w:rsidRPr="008B7B18" w:rsidRDefault="008B7B18" w:rsidP="008B7B18">
      <w:pPr>
        <w:bidi/>
        <w:ind w:left="-1134" w:right="-426" w:firstLine="567"/>
        <w:rPr>
          <w:rFonts w:ascii="Times New Roman" w:eastAsia="Times New Roman" w:hAnsi="Times New Roman" w:cs="Times New Roman" w:hint="cs"/>
          <w:sz w:val="32"/>
          <w:szCs w:val="32"/>
          <w:rtl/>
          <w:lang w:eastAsia="fr-FR" w:bidi="ar-TN"/>
        </w:rPr>
      </w:pPr>
      <w:proofErr w:type="gramStart"/>
      <w:r w:rsidRPr="008B7B1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المهام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</w:p>
    <w:p w:rsidR="00F36E4D" w:rsidRDefault="008B7B18" w:rsidP="003F0C1E">
      <w:pPr>
        <w:bidi/>
        <w:ind w:left="-567" w:right="-426"/>
      </w:pPr>
      <w:proofErr w:type="gramStart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حسب</w:t>
      </w:r>
      <w:proofErr w:type="gram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hyperlink r:id="rId10" w:tooltip="دستور تونس 2014" w:history="1">
        <w:r w:rsidRPr="008B7B1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rtl/>
            <w:lang w:eastAsia="fr-FR"/>
          </w:rPr>
          <w:t>دستور تونس 2014</w:t>
        </w:r>
      </w:hyperlink>
      <w:r w:rsidRPr="008B7B18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فإن</w:t>
      </w:r>
      <w:r w:rsidRPr="008B7B18">
        <w:rPr>
          <w:rFonts w:ascii="Times New Roman" w:eastAsia="Times New Roman" w:hAnsi="Times New Roman" w:cs="Times New Roman"/>
          <w:sz w:val="32"/>
          <w:szCs w:val="32"/>
          <w:lang w:eastAsia="fr-FR"/>
        </w:rPr>
        <w:t>:</w:t>
      </w:r>
      <w:r w:rsidRPr="008B7B18">
        <w:rPr>
          <w:rFonts w:ascii="Times New Roman" w:eastAsia="Times New Roman" w:hAnsi="Times New Roman" w:cs="Times New Roman"/>
          <w:sz w:val="32"/>
          <w:szCs w:val="32"/>
          <w:lang w:eastAsia="fr-FR"/>
        </w:rPr>
        <w:br/>
      </w:r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مجلس نواب الشعب هو السلطة التشريعية في </w:t>
      </w:r>
      <w:proofErr w:type="spellStart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البلاد،</w:t>
      </w:r>
      <w:proofErr w:type="spell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مقره </w:t>
      </w:r>
      <w:hyperlink r:id="rId11" w:tooltip="تونس (مدينة)" w:history="1">
        <w:r w:rsidRPr="008B7B1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rtl/>
            <w:lang w:eastAsia="fr-FR"/>
          </w:rPr>
          <w:t xml:space="preserve">تونس </w:t>
        </w:r>
        <w:proofErr w:type="spellStart"/>
        <w:r w:rsidRPr="008B7B1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rtl/>
            <w:lang w:eastAsia="fr-FR"/>
          </w:rPr>
          <w:t>العاصمة</w:t>
        </w:r>
      </w:hyperlink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،</w:t>
      </w:r>
      <w:proofErr w:type="spell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وله في الظروف الاستثنائية أن يغير مكانه في كامل الجمهورية التونسية</w:t>
      </w:r>
      <w:r w:rsidRPr="008B7B18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. </w:t>
      </w:r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ينتخب المجلس لمدة خمس سنوات. يمكن لمجلس نواب الشعب تكوين لجان </w:t>
      </w:r>
      <w:proofErr w:type="spellStart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تحقيق،</w:t>
      </w:r>
      <w:proofErr w:type="spell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وتقديم مقترحات </w:t>
      </w:r>
      <w:proofErr w:type="spellStart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قوانين،</w:t>
      </w:r>
      <w:proofErr w:type="spell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ومن مهامه المصادقة على مشاريع </w:t>
      </w:r>
      <w:proofErr w:type="spellStart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القوانين،</w:t>
      </w:r>
      <w:proofErr w:type="spell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والمصادقة على </w:t>
      </w:r>
      <w:proofErr w:type="spellStart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المعاهدات،</w:t>
      </w:r>
      <w:proofErr w:type="spell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تنظيم الحياة العامة في </w:t>
      </w:r>
      <w:proofErr w:type="spellStart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الدولة،</w:t>
      </w:r>
      <w:proofErr w:type="spell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المصادقة على الحكومة </w:t>
      </w:r>
      <w:proofErr w:type="spellStart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وأعضائها،</w:t>
      </w:r>
      <w:proofErr w:type="spell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والمصادقة على قانون المالية </w:t>
      </w:r>
      <w:proofErr w:type="spellStart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والميزانية،</w:t>
      </w:r>
      <w:proofErr w:type="spellEnd"/>
      <w:r w:rsidRPr="008B7B1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وكذلك رفع الحصانة على أحد النواب</w:t>
      </w:r>
      <w:r w:rsidRPr="008B7B18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  <w:r w:rsidR="003F0C1E">
        <w:t xml:space="preserve"> </w:t>
      </w:r>
    </w:p>
    <w:p w:rsidR="00F36E4D" w:rsidRDefault="00F36E4D" w:rsidP="00F36E4D">
      <w:pPr>
        <w:bidi/>
        <w:ind w:left="-1134" w:right="-1134"/>
      </w:pPr>
    </w:p>
    <w:sectPr w:rsidR="00F36E4D" w:rsidSect="008B7B18">
      <w:pgSz w:w="11906" w:h="16838"/>
      <w:pgMar w:top="142" w:right="1417" w:bottom="142" w:left="141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ECF"/>
    <w:multiLevelType w:val="hybridMultilevel"/>
    <w:tmpl w:val="29088426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36071D7"/>
    <w:multiLevelType w:val="hybridMultilevel"/>
    <w:tmpl w:val="AF561DA8"/>
    <w:lvl w:ilvl="0" w:tplc="322877AE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33BC6D53"/>
    <w:multiLevelType w:val="multilevel"/>
    <w:tmpl w:val="BBF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B7156"/>
    <w:multiLevelType w:val="hybridMultilevel"/>
    <w:tmpl w:val="67CEA4BA"/>
    <w:lvl w:ilvl="0" w:tplc="040C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57482BAC"/>
    <w:multiLevelType w:val="hybridMultilevel"/>
    <w:tmpl w:val="B192DE94"/>
    <w:lvl w:ilvl="0" w:tplc="040C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>
    <w:nsid w:val="78D00810"/>
    <w:multiLevelType w:val="hybridMultilevel"/>
    <w:tmpl w:val="004E2234"/>
    <w:lvl w:ilvl="0" w:tplc="040C0009">
      <w:start w:val="1"/>
      <w:numFmt w:val="bullet"/>
      <w:lvlText w:val=""/>
      <w:lvlJc w:val="left"/>
      <w:pPr>
        <w:ind w:left="-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E4D"/>
    <w:rsid w:val="00106A1F"/>
    <w:rsid w:val="00140857"/>
    <w:rsid w:val="00253065"/>
    <w:rsid w:val="003F0C1E"/>
    <w:rsid w:val="004E7614"/>
    <w:rsid w:val="007A5B30"/>
    <w:rsid w:val="008B7B18"/>
    <w:rsid w:val="009205DB"/>
    <w:rsid w:val="00CC7F73"/>
    <w:rsid w:val="00D13628"/>
    <w:rsid w:val="00F3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0"/>
  </w:style>
  <w:style w:type="paragraph" w:styleId="Titre3">
    <w:name w:val="heading 3"/>
    <w:basedOn w:val="Normal"/>
    <w:link w:val="Titre3Car"/>
    <w:uiPriority w:val="9"/>
    <w:qFormat/>
    <w:rsid w:val="008B7B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3628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06A1F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B7B1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8B7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A%D9%88%D9%86%D8%B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r.wikipedia.org/wiki/%D8%A8%D8%B1%D9%84%D9%85%D8%A7%D9%86_%D8%A8%D8%BA%D8%B1%D9%81%D8%A9_%D9%88%D8%A7%D8%AD%D8%AF%D8%A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.wikipedia.org/wiki/%D8%A7%D9%84%D8%A8%D8%B1%D9%84%D9%85%D8%A7%D9%86_%D8%A7%D9%84%D8%AA%D9%88%D9%86%D8%B3%D9%8A" TargetMode="External"/><Relationship Id="rId11" Type="http://schemas.openxmlformats.org/officeDocument/2006/relationships/hyperlink" Target="https://ar.wikipedia.org/wiki/%D8%AA%D9%88%D9%86%D8%B3_(%D9%85%D8%AF%D9%8A%D9%86%D8%A9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.wikipedia.org/wiki/%D8%AF%D8%B3%D8%AA%D9%88%D8%B1_%D8%AA%D9%88%D9%86%D8%B3_2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8%AF%D8%B3%D8%AA%D9%88%D8%B1_%D8%AA%D9%88%D9%86%D8%B3_201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B1F72-8587-4275-8D1E-C5BFD61D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14</cp:revision>
  <dcterms:created xsi:type="dcterms:W3CDTF">2018-02-11T17:44:00Z</dcterms:created>
  <dcterms:modified xsi:type="dcterms:W3CDTF">2018-02-11T19:00:00Z</dcterms:modified>
</cp:coreProperties>
</file>